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克州人力资源和社会保障局(克州人事局)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2022年04月13日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执行国家、自治区人力资源和社会保障事业发展规划、政策；拟定相关政策和措施并组织实施和监督检查；组织落实就业援助制度；统筹建立覆盖城乡的社会保障体系；负责就业、失业、社会保险基金预测预警和信息引导；落实机关企事业单位人员福利和离退休政策、制定专业技术人员管理和继续教育规划；负责军队转业干部教育培训工作；拟定农民工工作规划；定期不定期与援疆省市举办劳务输出洽谈会,积极为在外劳务输出人员提供劳动就业的信息和报告,保证就业率。组织实施劳务协作，积极与援疆省市开展劳务承包和劳务交流工作，大力发展疆外劳务基地；统筹实施劳动、人事争议调解仲裁制度；拟定信访维稳工作预案等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力资源和社会保障局属于财政全额拨款行政单位，核定编制65人，实有人数60人，下设办公室、规划财务科、就业促进科、专业技术人员工资福利管理科、事业人事管理科、养老失业保险科、劳动监察科、调解仲裁管理科、培训和职称社会化评价中心、考试中心、信息中心、劳动监察支队、档案管理中心、劳动人事争议仲裁院、其中公共就业服务中心5个科室：综合科、人才服务和创业科、农民工工作科、职业技能鉴定科、职业能力建设科共19个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局重点工作计划，通过加强组织领导、宣传教育、强化技能培训、鼓励支持创业、加快产业发展、落实援企稳岗政策、挖掘农业潜力拓宽就业渠道等措施促进就业；不断完善社会保障体系；加强人社信息化建设，着力提升便民服务效能；多渠道拓展就业空间，完善落实更加激进就业政策；做好专业技术人员职称评审；深化事业单位人事制度和工资制度改革；开展普法宣传和教育培训；加强劳动保障执法监察；维护劳动关系和谐稳定；做好“访惠聚”驻村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人力资源和社会保障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人力资源和社会保障局集体决策制度》和《克州人力资源和社会保障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人力资源和社会保障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人力资源和社会保障局合同管理办法》相关规定，克州人力资源和社会保障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1321.60万元，项目支出安排资金1317.88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本单位2021年度项目支出1317.88万元，涉及项目数量7个，其中：重点项目支出17万元，涉及重点项目数量1个，重点项目支出与部门项目总支出的比率为1.29%。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2021年度本单位年初批复部门预算资金总额为1362.14万元，年中调增预算总额为1384.21万元，调整后全年预算资金总额为2746.35万元。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2021年度本单位部门整体支出资金总额为2639.48万元，预算执行率为96.11%，预算调整率为</w:t>
      </w:r>
      <w:r>
        <w:rPr>
          <w:rFonts w:hint="eastAsia" w:ascii="仿宋_GB2312" w:hAnsi="宋体" w:eastAsia="仿宋_GB2312"/>
          <w:b w:val="0"/>
          <w:bCs/>
          <w:sz w:val="32"/>
          <w:szCs w:val="32"/>
          <w:lang w:val="en-US" w:eastAsia="zh-CN"/>
        </w:rPr>
        <w:t>101.62</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年初政府采购预算数为399.75万元，实际政府采购数为229.12万元万元，政府采购执行率为74.83%。</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为加强我单位预算管理、规范财务行为我单位制定了《克州人力资源和社会保障局内部控制规范》《克州人力资源和社会保障局项目管理规范》等资金管理制度，已建立制度均健全且有效运行。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2021年度我单位基本支出预算总额为1428.47万元，其中人员经费1039.99万元，公用经费388.48万元。实际执行总额为1321.60万元，预算执行率92.52%。</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13.36万元，比上年减少12.15万元，减少47.63%，主要原因是：按照厉行节约的要求，2021年缩减公务车运行维护费，因此支出随之减少。其中，因公出国（境）费支出0万元；公务用车购置及运行维护费支出9.41万元；公务接待费支出3.95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与年初预算数相比情况：一般公共预算“三公”经费支出年初预算数26万元，预算执行数为13.36万元，执行率为51.38%，主要原因是：按照厉行节约的要求，2021年缩减公务车运行维护费，因此支出随之减少。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2021年度本单位项目支出预算总额为1317.88万元，实际执行资金总额为1317.88万元，预算执行率为100%。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2021年度预算安排专项资金1293.88万元，实际支出资金1293.88万元，预算执行率为100%，涉及项目个数3个，专项经费按照政策要求实行专款专用，不存在截留、挤占、挪用、虚列支出。各项目详细执行情况如下：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2021“三支一扶”项目:全年预算数为1055万元，预算执行数为1055万元，预算执行率为100%。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2021年自治区财政就业补助项目项目:全年预算数为39.9万元，预算执行数为39.9万元，预算执行率为100%。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2021年中央财政就业补助项目：全年预算数为181.98万元，预算执行数为181.98万元，预算执行率为100%。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2021年度预算安排本级财力资金24万元，实际支出资金24万元，预算执行率为100%，涉及项目个数4个，各项目详细执行情况如下：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劳动保障检查工作经费项目:全年预算数为10万元，预算执行数为10万元，预算执行率为100%。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劳动争议仲裁工作经费项目:全年预算数为5万元，预算执行数为5万元，预算执行率为100%。  </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群众工作经费项目:全年预算数为7万元，预算执行数为7万元，预算执行率为100%。  </w:t>
      </w:r>
      <w:r>
        <w:rPr>
          <w:rFonts w:hint="eastAsia" w:ascii="仿宋_GB2312" w:hAnsi="宋体" w:eastAsia="仿宋_GB2312"/>
          <w:b w:val="0"/>
          <w:bCs/>
          <w:sz w:val="32"/>
          <w:szCs w:val="32"/>
        </w:rPr>
        <w:cr/>
      </w:r>
      <w:r>
        <w:rPr>
          <w:rFonts w:hint="eastAsia" w:ascii="仿宋_GB2312" w:hAnsi="宋体" w:eastAsia="仿宋_GB2312"/>
          <w:b w:val="0"/>
          <w:bCs/>
          <w:sz w:val="32"/>
          <w:szCs w:val="32"/>
        </w:rPr>
        <w:t>　　仲裁工作经费项目:全年预算数为2万元，预算执行数为2元，预算执行率为100%。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三支一扶”项目：根据《关于提前下达2021年高校毕业生“三支一扶”计划中央补助资金预算的通知》（新财社〔2021〕253号）和《关于拨付2021年中央财政就业补助资金（第二批）的通知》（克财社（2021）27号。</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第一书记工作经费为民办实事工作经费项目：根据《自治区“访民情惠民生聚民心”驻村工作为民办实事工作经费使用管理办法（试行）的通知》（新民办发〔2016〕62号）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2021年自治区财政就业补助项目：根据《关于提前下达2021年中央财政就业补助资金预算的通知》新财社〔2020〕250号、《关于提前下达2021年中央财政就业补助资金（第二批）的通知》新财社〔2021〕71号。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2021年中央财政就业补助项目：《关于提前下达2021年中央财政就业补助资金预算的通知》（克财社（2020）141号）。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1293.88万元，资金全部到位，实际使用资金1293.88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①制订《克州人力资源和社会保障局经费使用规范》,为合理合规使用经费提供了有力的制度保障。同时,建立区委组织部项目经费内部管控制度，并严格按要求落实。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tab/>
      </w:r>
      <w:r>
        <w:rPr>
          <w:rFonts w:hint="eastAsia" w:ascii="仿宋_GB2312" w:hAnsi="宋体" w:eastAsia="仿宋_GB2312"/>
          <w:b w:val="0"/>
          <w:bCs/>
          <w:sz w:val="32"/>
          <w:szCs w:val="32"/>
        </w:rPr>
        <w:t xml:space="preserve"> </w:t>
      </w:r>
      <w:r>
        <w:rPr>
          <w:rFonts w:hint="eastAsia" w:ascii="仿宋_GB2312" w:hAnsi="宋体" w:eastAsia="仿宋_GB2312"/>
          <w:b w:val="0"/>
          <w:bCs/>
          <w:sz w:val="32"/>
          <w:szCs w:val="32"/>
        </w:rPr>
        <w:cr/>
      </w:r>
      <w:r>
        <w:rPr>
          <w:rFonts w:hint="eastAsia" w:ascii="仿宋_GB2312" w:hAnsi="宋体" w:eastAsia="仿宋_GB2312"/>
          <w:b w:val="0"/>
          <w:bCs/>
          <w:sz w:val="32"/>
          <w:szCs w:val="32"/>
        </w:rPr>
        <w:t>　　2021“三支一扶”项目：主要用于支付“三支一扶”大学生生活、工作补贴、春节慰问费和安家费等补助，有利于其目的在于让克州未就业高校毕业生安心在基层开展各项工作，充实基层力量，缓解克州高校毕业生就业困难的现状。</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主要用于为民办实事经费和资金用于第一书记工作经费，营造安定和谐稳定的社会局面，着力解决农民反映的热点、难点问题，开展各项文体活动、职业技能培训、节日慰问等，有利于营造安定和谐稳定的社会局面，确保工作队各项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财政就业补助项目：主要用于职业培训补贴、职业技能鉴定补贴、社会保险补贴、公益性岗位补贴、就业见习补贴、就业创业服务补贴、求职创业补贴和高技能人才培养补助等就业创业支出，有利于促进职业培训、职业技能鉴定、公益性岗位人员就业、就业见习就业、就业创业服务政策落实、高技能人才培养等就业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2021年中央财政就业补助项目：2020年招募三支一扶在岗人员和2021年招募三支一扶在岗人员社保补贴款。</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本单位2021年初资产合计数为3129.45万元，年末资产合计数为3482.05万元。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截止本年度固定资产账面净值1495.00万元，年末实际在用固定资产1495.00万元，固定资产利用率为100%。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部门单位整体支出共设置一级指标3个，二级指标7个，三级指标27个，其中已完成三级指标25个，指标完成率为92.59%。</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“保障人员人数”指标：预期指标值为=87人，实际完成指标值为90人，指标完成率为100%。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“全年下乡调研次数”指标：预期指标值为&lt;=15次，实际完成指标值为15次，指标完成率为100%。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“全年出差人数”指标：预期指标值为&gt;=80人，实际完成指标值为80人，指标完成率为100%。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“劳务输出人数”指标：预期指标值为&gt;=3000人，实际完成指标值为3000人，指标完成率为100%。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“办理仲裁案件数”指标：预期指标值为&lt;=10件，实际完成指标值为10件，指标完成率为100%。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“办理监察案件数（件）”指标：预期指标值为&lt;=25件，实际完成指标值为25件，指标完成率为100%。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“开展人力资源市场专项检查次数”指标：预期指标值为&lt;=2次，实际完成指标值为2次，指标完成率为100%。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“群众工作下乡慰问人数”指标：预期指标值为&gt;=20人，实际完成指标值为20人，指标完成率为100%。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“村里开展活动次数”指标：预期指标值为&gt;=4次，实际完成指标值为4次，指标完成率为100%。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“为民办实事好事件数”指标：预期指标值为&lt;=10件，实际完成指标值为10件，指标完成率为100%。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“解决困难家庭子女上学件数”指标：预期指标值为&lt;=6件，实际完成指标值为6件，指标完成率为100%。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“机房设备维修次数”指标：预期指标值为&lt;=3次，实际完成指标值为3次，指标完成率为100%。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“职工发放工资覆盖率”指标：预期指标值为=100%，实际完成指标值为100%，指标完成率为100%。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“受理案件并做出仲裁结论覆盖率”指标：预期指标值为=100%，实际完成指标值为100%，指标完成率为100%。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“各类案件结案率”指标：预期指标值为=100%，实际完成指标值为100%，指标完成率为100%。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“工作完成及时率”指标：预期指标值为=100%，实际完成指标值为100%，指标完成率为100%。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“开展活动及时率”指标：预期指标值为=100%，实际完成指标值为100%，指标完成率为100%。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“慰问困难群众覆盖率”指标：预期指标值为=100%，实际完成指标值为100%，指标完成率为100%。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“人员经费”指标：预期指标值为=853.71万元，实际完成指标值为853.71万元，指标完成率为100%。偏差原因:因自治区调资，导致人员经费增加。</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“公用经费”指标：预期指标值为=93.43万元，实际完成指标值为93.43万元，指标完成率为100%。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415万元，实际完成指标值为248.25万元，指标完成率为59.83%。偏差原因：单位信息工程及设备采购项目355万，因核心三版信息影像工程未完工结算，资金未支付，导致支出资金与预算有差异。改进措施：加强项目实施管理，督促信息工程尽快完工。</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“维护劳动者合法权益”指标：预期指标值为持续维护，实际完成指标值为持续维护，指标完成率为100%。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“调动干部工作积极性”指标：预期指标值为有效调动，实际完成指标值为有效调动，指标完成率为100%。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“审核退休待遇，使退休人员老有所依、老有所养”指标：预期指标值为持续审核，实际完成指标值为持续审核，指标完成率为100%。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“增强劳动者法律意识”指标：预期指标值为长期，实际完成指标值为长期，指标完成率为100%。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“服务各族群众满意率”指标：预期指标值为&gt;=95%，实际完成指标值为95%，指标完成率为100%。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“提高办事效率”指标：预期指标值为&gt;=95%，实际完成指标值为95%，指标完成率为100%。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4E8C3871"/>
    <w:rsid w:val="51104628"/>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2022-05-23T14:25:12Z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